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6AE68" w14:textId="55B7974E" w:rsidR="00ED4786" w:rsidRPr="001A59C4" w:rsidRDefault="00ED4786" w:rsidP="00861D0B">
      <w:pPr>
        <w:spacing w:before="120" w:after="120" w:line="240" w:lineRule="auto"/>
        <w:ind w:firstLine="720"/>
        <w:jc w:val="both"/>
        <w:rPr>
          <w:rFonts w:asciiTheme="majorHAnsi" w:hAnsiTheme="majorHAnsi" w:cstheme="majorHAnsi"/>
          <w:sz w:val="28"/>
          <w:szCs w:val="28"/>
          <w:lang w:val="hu-HU"/>
        </w:rPr>
      </w:pPr>
      <w:bookmarkStart w:id="0" w:name="_Toc112402971"/>
      <w:r w:rsidRPr="001A59C4">
        <w:rPr>
          <w:rFonts w:asciiTheme="majorHAnsi" w:eastAsiaTheme="majorEastAsia" w:hAnsiTheme="majorHAnsi" w:cstheme="majorBidi"/>
          <w:b/>
          <w:bCs/>
          <w:sz w:val="24"/>
          <w:szCs w:val="24"/>
          <w:lang w:val="hu-HU"/>
        </w:rPr>
        <w:t>NGÂN HÀNG ĐẦU TƯ</w:t>
      </w:r>
      <w:bookmarkEnd w:id="0"/>
      <w:r w:rsidR="00AC3008" w:rsidRPr="001A59C4">
        <w:rPr>
          <w:rFonts w:asciiTheme="majorHAnsi" w:eastAsiaTheme="majorEastAsia" w:hAnsiTheme="majorHAnsi" w:cstheme="majorBidi"/>
          <w:b/>
          <w:bCs/>
          <w:sz w:val="24"/>
          <w:szCs w:val="24"/>
          <w:lang w:val="hu-HU"/>
        </w:rPr>
        <w:t xml:space="preserve"> </w:t>
      </w:r>
      <w:r w:rsidRPr="001A59C4">
        <w:rPr>
          <w:rFonts w:asciiTheme="majorHAnsi" w:hAnsiTheme="majorHAnsi" w:cstheme="majorHAnsi"/>
          <w:b/>
          <w:bCs/>
          <w:sz w:val="24"/>
          <w:szCs w:val="24"/>
          <w:lang w:val="hu-HU"/>
        </w:rPr>
        <w:t>(</w:t>
      </w:r>
      <w:r w:rsidR="001A2D85">
        <w:rPr>
          <w:rFonts w:asciiTheme="majorHAnsi" w:hAnsiTheme="majorHAnsi" w:cstheme="majorHAnsi"/>
          <w:b/>
          <w:bCs/>
          <w:sz w:val="24"/>
          <w:szCs w:val="24"/>
          <w:lang w:val="hu-HU"/>
        </w:rPr>
        <w:t>I</w:t>
      </w:r>
      <w:r w:rsidRPr="001A59C4">
        <w:rPr>
          <w:rFonts w:asciiTheme="majorHAnsi" w:hAnsiTheme="majorHAnsi" w:cstheme="majorHAnsi"/>
          <w:b/>
          <w:bCs/>
          <w:sz w:val="24"/>
          <w:szCs w:val="24"/>
          <w:lang w:val="hu-HU"/>
        </w:rPr>
        <w:t xml:space="preserve">nvestment </w:t>
      </w:r>
      <w:r w:rsidR="00AC3008" w:rsidRPr="001A59C4">
        <w:rPr>
          <w:rFonts w:asciiTheme="majorHAnsi" w:hAnsiTheme="majorHAnsi" w:cstheme="majorHAnsi"/>
          <w:b/>
          <w:bCs/>
          <w:sz w:val="24"/>
          <w:szCs w:val="24"/>
          <w:lang w:val="hu-HU"/>
        </w:rPr>
        <w:t>b</w:t>
      </w:r>
      <w:r w:rsidRPr="001A59C4">
        <w:rPr>
          <w:rFonts w:asciiTheme="majorHAnsi" w:hAnsiTheme="majorHAnsi" w:cstheme="majorHAnsi"/>
          <w:b/>
          <w:bCs/>
          <w:sz w:val="24"/>
          <w:szCs w:val="24"/>
          <w:lang w:val="hu-HU"/>
        </w:rPr>
        <w:t>ank)</w:t>
      </w:r>
      <w:r w:rsidR="00AC3008" w:rsidRPr="001A59C4">
        <w:rPr>
          <w:rFonts w:asciiTheme="majorHAnsi" w:hAnsiTheme="majorHAnsi" w:cstheme="majorHAnsi"/>
          <w:sz w:val="24"/>
          <w:szCs w:val="24"/>
          <w:lang w:val="hu-HU"/>
        </w:rPr>
        <w:t>,</w:t>
      </w:r>
      <w:r w:rsidR="00AC3008" w:rsidRPr="001A59C4">
        <w:rPr>
          <w:rFonts w:asciiTheme="majorHAnsi" w:hAnsiTheme="majorHAnsi" w:cstheme="majorHAnsi"/>
          <w:sz w:val="28"/>
          <w:szCs w:val="28"/>
          <w:lang w:val="hu-HU"/>
        </w:rPr>
        <w:t xml:space="preserve"> </w:t>
      </w:r>
      <w:bookmarkStart w:id="1" w:name="_GoBack"/>
      <w:r w:rsidRPr="001A59C4">
        <w:rPr>
          <w:rFonts w:asciiTheme="majorHAnsi" w:hAnsiTheme="majorHAnsi" w:cstheme="majorHAnsi"/>
          <w:sz w:val="28"/>
          <w:szCs w:val="28"/>
          <w:lang w:val="hu-HU"/>
        </w:rPr>
        <w:t xml:space="preserve">một trung gian cung cấp các dịch vụ tài chính, trong đó tập trung vào tư vấn và thực hiện huy động các nguồn vốn (đặc biệt là vốn trung và dài hạn) trên thị trường vốn cho khách hàng (bao gồm cá nhân, doanh nghiệp, và chính phủ). </w:t>
      </w:r>
      <w:r w:rsidR="00906182" w:rsidRPr="001A59C4">
        <w:rPr>
          <w:rFonts w:asciiTheme="majorHAnsi" w:hAnsiTheme="majorHAnsi" w:cstheme="majorHAnsi"/>
          <w:sz w:val="28"/>
          <w:szCs w:val="28"/>
          <w:lang w:val="hu-HU"/>
        </w:rPr>
        <w:t>NHĐT</w:t>
      </w:r>
      <w:r w:rsidRPr="001A59C4">
        <w:rPr>
          <w:rFonts w:asciiTheme="majorHAnsi" w:hAnsiTheme="majorHAnsi" w:cstheme="majorHAnsi"/>
          <w:sz w:val="28"/>
          <w:szCs w:val="28"/>
          <w:lang w:val="hu-HU"/>
        </w:rPr>
        <w:t xml:space="preserve"> giúp các khách hàng huy động các nguồn vốn cần thiết thông qua phát hành các loại chứng khoán. Các loại chứng khoán phát hành có thể bao gồm cổ phiếu (chứng khoán vốn) hoặc trái phiếu (chứng khoán nợ).</w:t>
      </w:r>
      <w:bookmarkEnd w:id="1"/>
    </w:p>
    <w:p w14:paraId="1BBDAFBD" w14:textId="71BA1B62" w:rsidR="00ED4786" w:rsidRPr="001A59C4" w:rsidRDefault="00ED4786" w:rsidP="00365DEB">
      <w:pPr>
        <w:widowControl w:val="0"/>
        <w:spacing w:before="120" w:after="120" w:line="240" w:lineRule="auto"/>
        <w:ind w:firstLine="720"/>
        <w:jc w:val="both"/>
        <w:rPr>
          <w:rFonts w:ascii="Times New Roman" w:eastAsia="PMingLiU" w:hAnsi="Times New Roman" w:cs="Times New Roman"/>
          <w:sz w:val="28"/>
          <w:szCs w:val="28"/>
          <w:lang w:val="hu-HU"/>
        </w:rPr>
      </w:pPr>
      <w:r w:rsidRPr="001A59C4">
        <w:rPr>
          <w:rFonts w:ascii="Times New Roman" w:eastAsia="PMingLiU" w:hAnsi="Times New Roman" w:cs="Times New Roman"/>
          <w:sz w:val="28"/>
          <w:szCs w:val="28"/>
          <w:lang w:val="hu-HU"/>
        </w:rPr>
        <w:t xml:space="preserve">Trong khi </w:t>
      </w:r>
      <w:r w:rsidR="00407E3B" w:rsidRPr="001A59C4">
        <w:rPr>
          <w:rFonts w:ascii="Times New Roman" w:eastAsia="PMingLiU" w:hAnsi="Times New Roman" w:cs="Times New Roman"/>
          <w:sz w:val="28"/>
          <w:szCs w:val="28"/>
          <w:lang w:val="hu-HU"/>
        </w:rPr>
        <w:t xml:space="preserve">ngân hàng thương mại </w:t>
      </w:r>
      <w:r w:rsidRPr="001A59C4">
        <w:rPr>
          <w:rFonts w:ascii="Times New Roman" w:eastAsia="PMingLiU" w:hAnsi="Times New Roman" w:cs="Times New Roman"/>
          <w:sz w:val="28"/>
          <w:szCs w:val="28"/>
          <w:lang w:val="hu-HU"/>
        </w:rPr>
        <w:t xml:space="preserve">tập trung nhiều về hoạt động cho vay thì </w:t>
      </w:r>
      <w:r w:rsidR="00906182" w:rsidRPr="001A59C4">
        <w:rPr>
          <w:rFonts w:ascii="Times New Roman" w:eastAsia="PMingLiU" w:hAnsi="Times New Roman" w:cs="Times New Roman"/>
          <w:sz w:val="28"/>
          <w:szCs w:val="28"/>
          <w:lang w:val="hu-HU"/>
        </w:rPr>
        <w:t>NHĐT</w:t>
      </w:r>
      <w:r w:rsidRPr="001A59C4">
        <w:rPr>
          <w:rFonts w:ascii="Times New Roman" w:eastAsia="PMingLiU" w:hAnsi="Times New Roman" w:cs="Times New Roman"/>
          <w:sz w:val="28"/>
          <w:szCs w:val="28"/>
          <w:lang w:val="hu-HU"/>
        </w:rPr>
        <w:t xml:space="preserve"> rất ít khi, thậm chí không cung cấp hoạt động cho vay. Nói cách khác, trong bảng cân đối kế toán của </w:t>
      </w:r>
      <w:r w:rsidR="00906182" w:rsidRPr="001A59C4">
        <w:rPr>
          <w:rFonts w:ascii="Times New Roman" w:eastAsia="PMingLiU" w:hAnsi="Times New Roman" w:cs="Times New Roman"/>
          <w:sz w:val="28"/>
          <w:szCs w:val="28"/>
          <w:lang w:val="hu-HU"/>
        </w:rPr>
        <w:t>NHĐT</w:t>
      </w:r>
      <w:r w:rsidRPr="001A59C4">
        <w:rPr>
          <w:rFonts w:ascii="Times New Roman" w:eastAsia="PMingLiU" w:hAnsi="Times New Roman" w:cs="Times New Roman"/>
          <w:sz w:val="28"/>
          <w:szCs w:val="28"/>
          <w:lang w:val="hu-HU"/>
        </w:rPr>
        <w:t xml:space="preserve"> hoạt động huy động tiền gửi và cho vay chỉ chiếm một tỷ trọng nhỏ. Thay vào đó, bên nguồn (liabilities) của </w:t>
      </w:r>
      <w:r w:rsidR="00906182" w:rsidRPr="001A59C4">
        <w:rPr>
          <w:rFonts w:ascii="Times New Roman" w:eastAsia="PMingLiU" w:hAnsi="Times New Roman" w:cs="Times New Roman"/>
          <w:sz w:val="28"/>
          <w:szCs w:val="28"/>
          <w:lang w:val="hu-HU"/>
        </w:rPr>
        <w:t>NHĐT</w:t>
      </w:r>
      <w:r w:rsidRPr="001A59C4">
        <w:rPr>
          <w:rFonts w:ascii="Times New Roman" w:eastAsia="PMingLiU" w:hAnsi="Times New Roman" w:cs="Times New Roman"/>
          <w:sz w:val="28"/>
          <w:szCs w:val="28"/>
          <w:lang w:val="hu-HU"/>
        </w:rPr>
        <w:t xml:space="preserve"> chủ yếu được hình thành từ các công cụ ngắn hạn của thị trường tiền tệ. Trên cơ sở đó, </w:t>
      </w:r>
      <w:r w:rsidR="00906182" w:rsidRPr="001A59C4">
        <w:rPr>
          <w:rFonts w:ascii="Times New Roman" w:eastAsia="PMingLiU" w:hAnsi="Times New Roman" w:cs="Times New Roman"/>
          <w:sz w:val="28"/>
          <w:szCs w:val="28"/>
          <w:lang w:val="hu-HU"/>
        </w:rPr>
        <w:t>NHĐT</w:t>
      </w:r>
      <w:r w:rsidRPr="001A59C4">
        <w:rPr>
          <w:rFonts w:ascii="Times New Roman" w:eastAsia="PMingLiU" w:hAnsi="Times New Roman" w:cs="Times New Roman"/>
          <w:sz w:val="28"/>
          <w:szCs w:val="28"/>
          <w:lang w:val="hu-HU"/>
        </w:rPr>
        <w:t xml:space="preserve"> cung cấp các dịch vụ tư vấn từ quản lý tài sản đến hoạt động mua bán và sáp nhập (M&amp;A). Hiện nay, hoạt động kinh doanh chính của </w:t>
      </w:r>
      <w:r w:rsidR="00906182" w:rsidRPr="001A59C4">
        <w:rPr>
          <w:rFonts w:ascii="Times New Roman" w:eastAsia="PMingLiU" w:hAnsi="Times New Roman" w:cs="Times New Roman"/>
          <w:sz w:val="28"/>
          <w:szCs w:val="28"/>
          <w:lang w:val="hu-HU"/>
        </w:rPr>
        <w:t>NHĐT</w:t>
      </w:r>
      <w:r w:rsidRPr="001A59C4">
        <w:rPr>
          <w:rFonts w:ascii="Times New Roman" w:eastAsia="PMingLiU" w:hAnsi="Times New Roman" w:cs="Times New Roman"/>
          <w:sz w:val="28"/>
          <w:szCs w:val="28"/>
          <w:lang w:val="hu-HU"/>
        </w:rPr>
        <w:t xml:space="preserve"> ngày càng được mở rộng với các mảng kinh doanh chính bao gồm nghiệp vụ </w:t>
      </w:r>
      <w:r w:rsidR="00906182" w:rsidRPr="001A59C4">
        <w:rPr>
          <w:rFonts w:ascii="Times New Roman" w:eastAsia="PMingLiU" w:hAnsi="Times New Roman" w:cs="Times New Roman"/>
          <w:sz w:val="28"/>
          <w:szCs w:val="28"/>
          <w:lang w:val="hu-HU"/>
        </w:rPr>
        <w:t>NHĐT</w:t>
      </w:r>
      <w:r w:rsidRPr="001A59C4">
        <w:rPr>
          <w:rFonts w:ascii="Times New Roman" w:eastAsia="PMingLiU" w:hAnsi="Times New Roman" w:cs="Times New Roman"/>
          <w:sz w:val="28"/>
          <w:szCs w:val="28"/>
          <w:lang w:val="hu-HU"/>
        </w:rPr>
        <w:t xml:space="preserve"> (gồm phát hành chứng khoán và tư vấn mua bán sáp nhập), nghiệp vụ đầu tư, nghiệp vụ quản lý đầu tư, hoạt động tư vấn-nghiên cứu, ngân hàng bán buôn, và nghiệp vụ môi giới.</w:t>
      </w:r>
    </w:p>
    <w:p w14:paraId="570BA4F9" w14:textId="62FC5856" w:rsidR="00ED4786" w:rsidRPr="00CB3BF6" w:rsidRDefault="00ED4786" w:rsidP="00365DEB">
      <w:pPr>
        <w:widowControl w:val="0"/>
        <w:spacing w:before="120" w:after="120" w:line="240" w:lineRule="auto"/>
        <w:ind w:firstLine="720"/>
        <w:jc w:val="both"/>
        <w:rPr>
          <w:rFonts w:ascii="Times New Roman" w:eastAsia="PMingLiU" w:hAnsi="Times New Roman" w:cs="Times New Roman"/>
          <w:sz w:val="28"/>
          <w:szCs w:val="28"/>
          <w:lang w:val="hu-HU"/>
        </w:rPr>
      </w:pPr>
      <w:r w:rsidRPr="001A59C4">
        <w:rPr>
          <w:rFonts w:ascii="Times New Roman" w:eastAsia="PMingLiU" w:hAnsi="Times New Roman" w:cs="Times New Roman"/>
          <w:sz w:val="28"/>
          <w:szCs w:val="28"/>
          <w:lang w:val="hu-HU"/>
        </w:rPr>
        <w:t xml:space="preserve">Các </w:t>
      </w:r>
      <w:r w:rsidR="00906182" w:rsidRPr="001A59C4">
        <w:rPr>
          <w:rFonts w:ascii="Times New Roman" w:eastAsia="PMingLiU" w:hAnsi="Times New Roman" w:cs="Times New Roman"/>
          <w:sz w:val="28"/>
          <w:szCs w:val="28"/>
          <w:lang w:val="hu-HU"/>
        </w:rPr>
        <w:t>NHĐT</w:t>
      </w:r>
      <w:r w:rsidRPr="001A59C4">
        <w:rPr>
          <w:rFonts w:ascii="Times New Roman" w:eastAsia="PMingLiU" w:hAnsi="Times New Roman" w:cs="Times New Roman"/>
          <w:sz w:val="28"/>
          <w:szCs w:val="28"/>
          <w:lang w:val="hu-HU"/>
        </w:rPr>
        <w:t xml:space="preserve"> lớn nhất trên thế giới (xét theo tổng phí thu được) chủ yếu có trụ sở tại Mỹ. Điều này là do quy định của luật pháp Mỹ, đặc biệt kể từ khi bộ Luật Gramm-Leach Bliley Act được thông qua năm 1999. Trong đó, bộ Luật này quy định khá chặt chẽ về sự khác biệt giữa </w:t>
      </w:r>
      <w:r w:rsidR="00906182" w:rsidRPr="001A59C4">
        <w:rPr>
          <w:rFonts w:ascii="Times New Roman" w:eastAsia="PMingLiU" w:hAnsi="Times New Roman" w:cs="Times New Roman"/>
          <w:sz w:val="28"/>
          <w:szCs w:val="28"/>
          <w:lang w:val="hu-HU"/>
        </w:rPr>
        <w:t>NHĐT</w:t>
      </w:r>
      <w:r w:rsidRPr="001A59C4">
        <w:rPr>
          <w:rFonts w:ascii="Times New Roman" w:eastAsia="PMingLiU" w:hAnsi="Times New Roman" w:cs="Times New Roman"/>
          <w:sz w:val="28"/>
          <w:szCs w:val="28"/>
          <w:lang w:val="hu-HU"/>
        </w:rPr>
        <w:t xml:space="preserve"> và ngân hàng thương mại. Cụ thể, chỉ có các </w:t>
      </w:r>
      <w:r w:rsidR="00906182" w:rsidRPr="001A59C4">
        <w:rPr>
          <w:rFonts w:ascii="Times New Roman" w:eastAsia="PMingLiU" w:hAnsi="Times New Roman" w:cs="Times New Roman"/>
          <w:sz w:val="28"/>
          <w:szCs w:val="28"/>
          <w:lang w:val="hu-HU"/>
        </w:rPr>
        <w:t>NHĐT</w:t>
      </w:r>
      <w:r w:rsidRPr="001A59C4">
        <w:rPr>
          <w:rFonts w:ascii="Times New Roman" w:eastAsia="PMingLiU" w:hAnsi="Times New Roman" w:cs="Times New Roman"/>
          <w:sz w:val="28"/>
          <w:szCs w:val="28"/>
          <w:lang w:val="hu-HU"/>
        </w:rPr>
        <w:t xml:space="preserve"> mới được thực hiện các nghiệp vụ của </w:t>
      </w:r>
      <w:r w:rsidR="00906182" w:rsidRPr="001A59C4">
        <w:rPr>
          <w:rFonts w:ascii="Times New Roman" w:eastAsia="PMingLiU" w:hAnsi="Times New Roman" w:cs="Times New Roman"/>
          <w:sz w:val="28"/>
          <w:szCs w:val="28"/>
          <w:lang w:val="hu-HU"/>
        </w:rPr>
        <w:t>NHĐT</w:t>
      </w:r>
      <w:r w:rsidRPr="001A59C4">
        <w:rPr>
          <w:rFonts w:ascii="Times New Roman" w:eastAsia="PMingLiU" w:hAnsi="Times New Roman" w:cs="Times New Roman"/>
          <w:sz w:val="28"/>
          <w:szCs w:val="28"/>
          <w:lang w:val="hu-HU"/>
        </w:rPr>
        <w:t>. Trong khi đó, tại châu Âu, hầu hết các quốc gia đều cho phép ngân hàng toàn cầu (universal banks), vốn là ngân hàng thương mại</w:t>
      </w:r>
      <w:r w:rsidR="00E501E6" w:rsidRPr="001A59C4">
        <w:rPr>
          <w:rFonts w:ascii="Times New Roman" w:eastAsia="PMingLiU" w:hAnsi="Times New Roman" w:cs="Times New Roman"/>
          <w:sz w:val="28"/>
          <w:szCs w:val="28"/>
          <w:lang w:val="hu-HU"/>
        </w:rPr>
        <w:t xml:space="preserve"> </w:t>
      </w:r>
      <w:r w:rsidRPr="001A59C4">
        <w:rPr>
          <w:rFonts w:ascii="Times New Roman" w:eastAsia="PMingLiU" w:hAnsi="Times New Roman" w:cs="Times New Roman"/>
          <w:sz w:val="28"/>
          <w:szCs w:val="28"/>
          <w:lang w:val="hu-HU"/>
        </w:rPr>
        <w:t xml:space="preserve">được phép thực hiện cả nghiệp vụ </w:t>
      </w:r>
      <w:r w:rsidR="00906182" w:rsidRPr="001A59C4">
        <w:rPr>
          <w:rFonts w:ascii="Times New Roman" w:eastAsia="PMingLiU" w:hAnsi="Times New Roman" w:cs="Times New Roman"/>
          <w:sz w:val="28"/>
          <w:szCs w:val="28"/>
          <w:lang w:val="hu-HU"/>
        </w:rPr>
        <w:t>NHĐT</w:t>
      </w:r>
      <w:r w:rsidRPr="001A59C4">
        <w:rPr>
          <w:rFonts w:ascii="Times New Roman" w:eastAsia="PMingLiU" w:hAnsi="Times New Roman" w:cs="Times New Roman"/>
          <w:sz w:val="28"/>
          <w:szCs w:val="28"/>
          <w:lang w:val="hu-HU"/>
        </w:rPr>
        <w:t xml:space="preserve"> và nghiệp vụ ngân hàng thương mại. Chính vì vậy, một số các ngân hàng thương mại có trụ sở tại châu Âu như HSBC, Credit Suise và Deutch Bank vẫn nằm trong danh sách các </w:t>
      </w:r>
      <w:r w:rsidR="00906182" w:rsidRPr="001A59C4">
        <w:rPr>
          <w:rFonts w:ascii="Times New Roman" w:eastAsia="PMingLiU" w:hAnsi="Times New Roman" w:cs="Times New Roman"/>
          <w:sz w:val="28"/>
          <w:szCs w:val="28"/>
          <w:lang w:val="hu-HU"/>
        </w:rPr>
        <w:t>NHĐT</w:t>
      </w:r>
      <w:r w:rsidRPr="001A59C4">
        <w:rPr>
          <w:rFonts w:ascii="Times New Roman" w:eastAsia="PMingLiU" w:hAnsi="Times New Roman" w:cs="Times New Roman"/>
          <w:sz w:val="28"/>
          <w:szCs w:val="28"/>
          <w:lang w:val="hu-HU"/>
        </w:rPr>
        <w:t xml:space="preserve"> lớn nhất thế giới</w:t>
      </w:r>
      <w:r w:rsidRPr="00CB3BF6">
        <w:rPr>
          <w:rFonts w:ascii="Times New Roman" w:eastAsia="PMingLiU" w:hAnsi="Times New Roman" w:cs="Times New Roman"/>
          <w:sz w:val="28"/>
          <w:szCs w:val="28"/>
          <w:lang w:val="hu-HU"/>
        </w:rPr>
        <w:t xml:space="preserve">. </w:t>
      </w:r>
    </w:p>
    <w:p w14:paraId="74C4D0F3" w14:textId="01AD8596" w:rsidR="00ED4786" w:rsidRPr="00CB3BF6" w:rsidRDefault="00ED4786" w:rsidP="00365DEB">
      <w:pPr>
        <w:widowControl w:val="0"/>
        <w:spacing w:before="120" w:after="120" w:line="240" w:lineRule="auto"/>
        <w:ind w:firstLine="720"/>
        <w:jc w:val="both"/>
        <w:rPr>
          <w:rFonts w:ascii="Times New Roman" w:eastAsia="PMingLiU" w:hAnsi="Times New Roman" w:cs="Times New Roman"/>
          <w:sz w:val="28"/>
          <w:szCs w:val="28"/>
          <w:lang w:val="hu-HU"/>
        </w:rPr>
      </w:pPr>
      <w:r w:rsidRPr="00CB3BF6">
        <w:rPr>
          <w:rFonts w:ascii="Times New Roman" w:eastAsia="PMingLiU" w:hAnsi="Times New Roman" w:cs="Times New Roman"/>
          <w:sz w:val="28"/>
          <w:szCs w:val="28"/>
          <w:lang w:val="hu-HU"/>
        </w:rPr>
        <w:t xml:space="preserve">Trên thực tế, sự khác biệt giữa ngân hàng thương mại và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ngày càng bị lu mờ dần. Nhiều ngân hàng thương mại tại Mỹ đang có xu hướng mở rộng thêm nghiệp vụ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với một số lý do sau đây: (i) Các khách hàng có xu hướng thích sử dụng một trung gian tài chính duy nhất để giao dịch nhằm giảm chi phí giao dịch. Ví dụ, một doanh nghiệp là khách hàng thân thiết của ngân hàng A. Vì vậy, doanh nghiệp này cũng muốn ngân hàng A cung cấp dịch vụ khi huy động vốn trung và dài hạn trên thị trường vốn (ví dụ, như phát hành trái phiếu hoặc cổ phiếu); (ii) đa dạng hóa các dịch vụ tài chính sẽ giúp giảm thiểu rủi ro cho chính ngân hàng; (iii)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không phải đối mặt với sự bất cân xứng về kỳ hạn như ngân hàng thương mại. Vì vậy, nếu tham gia hoạt động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sẽ không phải chịu các quy định nghiêm ngặt như đối với ngân hàng thương mại.</w:t>
      </w:r>
    </w:p>
    <w:p w14:paraId="3D90FB14" w14:textId="40CA19B3" w:rsidR="00ED4786" w:rsidRPr="00CB3BF6" w:rsidRDefault="00ED4786" w:rsidP="00365DEB">
      <w:pPr>
        <w:widowControl w:val="0"/>
        <w:spacing w:before="120" w:after="120" w:line="240" w:lineRule="auto"/>
        <w:ind w:firstLine="720"/>
        <w:jc w:val="both"/>
        <w:rPr>
          <w:rFonts w:ascii="Times New Roman" w:eastAsia="PMingLiU" w:hAnsi="Times New Roman" w:cs="Times New Roman"/>
          <w:sz w:val="28"/>
          <w:szCs w:val="28"/>
          <w:lang w:val="hu-HU"/>
        </w:rPr>
      </w:pPr>
      <w:r w:rsidRPr="00CB3BF6">
        <w:rPr>
          <w:rFonts w:ascii="Times New Roman" w:eastAsia="PMingLiU" w:hAnsi="Times New Roman" w:cs="Times New Roman"/>
          <w:sz w:val="28"/>
          <w:szCs w:val="28"/>
          <w:lang w:val="hu-HU"/>
        </w:rPr>
        <w:t xml:space="preserve">Tuy nhiên, kế từ sau cuộc khủng hoảng tài chính toàn cầu 2008-2009, một số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tại Mỹ (như Goldman Sachs, Morgan Stanley) lại có xu hướng </w:t>
      </w:r>
      <w:r w:rsidRPr="00CB3BF6">
        <w:rPr>
          <w:rFonts w:ascii="Times New Roman" w:eastAsia="PMingLiU" w:hAnsi="Times New Roman" w:cs="Times New Roman"/>
          <w:sz w:val="28"/>
          <w:szCs w:val="28"/>
          <w:lang w:val="hu-HU"/>
        </w:rPr>
        <w:lastRenderedPageBreak/>
        <w:t xml:space="preserve">chuyển thành các ngân hàng thương mại. Diễn biến này khiến cho người ta liên tưởng đến sự tồn tại của nghiệp vụ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trong thời gian tới. Ngoài ra nó cũng cho thấy, khi phải đối mặt với khó khăn trong hoạt động kinh doanh, các ngân hàng thương mại sẽ có một số quyền lợi đặc biệt hơn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khi có </w:t>
      </w:r>
      <w:r w:rsidR="00847434" w:rsidRPr="00CB3BF6">
        <w:rPr>
          <w:rFonts w:ascii="Times New Roman" w:eastAsia="PMingLiU" w:hAnsi="Times New Roman" w:cs="Times New Roman"/>
          <w:sz w:val="28"/>
          <w:szCs w:val="28"/>
          <w:lang w:val="hu-HU"/>
        </w:rPr>
        <w:t xml:space="preserve">Ngân </w:t>
      </w:r>
      <w:r w:rsidRPr="00CB3BF6">
        <w:rPr>
          <w:rFonts w:ascii="Times New Roman" w:eastAsia="PMingLiU" w:hAnsi="Times New Roman" w:cs="Times New Roman"/>
          <w:sz w:val="28"/>
          <w:szCs w:val="28"/>
          <w:lang w:val="hu-HU"/>
        </w:rPr>
        <w:t xml:space="preserve">hàng </w:t>
      </w:r>
      <w:r w:rsidR="00847434" w:rsidRPr="00CB3BF6">
        <w:rPr>
          <w:rFonts w:ascii="Times New Roman" w:eastAsia="PMingLiU" w:hAnsi="Times New Roman" w:cs="Times New Roman"/>
          <w:sz w:val="28"/>
          <w:szCs w:val="28"/>
          <w:lang w:val="hu-HU"/>
        </w:rPr>
        <w:t xml:space="preserve">Trung </w:t>
      </w:r>
      <w:r w:rsidRPr="00CB3BF6">
        <w:rPr>
          <w:rFonts w:ascii="Times New Roman" w:eastAsia="PMingLiU" w:hAnsi="Times New Roman" w:cs="Times New Roman"/>
          <w:sz w:val="28"/>
          <w:szCs w:val="28"/>
          <w:lang w:val="hu-HU"/>
        </w:rPr>
        <w:t xml:space="preserve">ương hỗ trợ với vai trò là cứu cánh cuối cùng. </w:t>
      </w:r>
    </w:p>
    <w:p w14:paraId="7DFD1164" w14:textId="51CF233C" w:rsidR="00ED4786" w:rsidRPr="00CB3BF6" w:rsidRDefault="00ED4786" w:rsidP="00365DEB">
      <w:pPr>
        <w:widowControl w:val="0"/>
        <w:spacing w:before="120" w:after="120" w:line="240" w:lineRule="auto"/>
        <w:ind w:firstLine="720"/>
        <w:jc w:val="both"/>
        <w:rPr>
          <w:rFonts w:ascii="Times New Roman" w:eastAsia="PMingLiU" w:hAnsi="Times New Roman" w:cs="Times New Roman"/>
          <w:bCs/>
          <w:iCs/>
          <w:sz w:val="28"/>
          <w:szCs w:val="28"/>
          <w:lang w:val="hu-HU"/>
        </w:rPr>
      </w:pPr>
      <w:r w:rsidRPr="00CB3BF6">
        <w:rPr>
          <w:rFonts w:ascii="Times New Roman" w:eastAsia="PMingLiU" w:hAnsi="Times New Roman" w:cs="Times New Roman"/>
          <w:bCs/>
          <w:iCs/>
          <w:sz w:val="28"/>
          <w:szCs w:val="28"/>
          <w:lang w:val="hu-HU"/>
        </w:rPr>
        <w:t xml:space="preserve">Lịch sử </w:t>
      </w:r>
      <w:r w:rsidR="00906182" w:rsidRPr="00CB3BF6">
        <w:rPr>
          <w:rFonts w:ascii="Times New Roman" w:eastAsia="PMingLiU" w:hAnsi="Times New Roman" w:cs="Times New Roman"/>
          <w:bCs/>
          <w:iCs/>
          <w:sz w:val="28"/>
          <w:szCs w:val="28"/>
          <w:lang w:val="hu-HU"/>
        </w:rPr>
        <w:t>NHĐT</w:t>
      </w:r>
    </w:p>
    <w:p w14:paraId="70913571" w14:textId="3993A817" w:rsidR="00ED4786" w:rsidRPr="00CB3BF6" w:rsidRDefault="00ED4786" w:rsidP="00365DEB">
      <w:pPr>
        <w:widowControl w:val="0"/>
        <w:spacing w:before="120" w:after="120" w:line="240" w:lineRule="auto"/>
        <w:ind w:firstLine="720"/>
        <w:jc w:val="both"/>
        <w:rPr>
          <w:rFonts w:ascii="Times New Roman" w:eastAsia="PMingLiU" w:hAnsi="Times New Roman" w:cs="Times New Roman"/>
          <w:sz w:val="28"/>
          <w:szCs w:val="28"/>
          <w:lang w:val="hu-HU"/>
        </w:rPr>
      </w:pPr>
      <w:r w:rsidRPr="00CB3BF6">
        <w:rPr>
          <w:rFonts w:ascii="Times New Roman" w:eastAsia="PMingLiU" w:hAnsi="Times New Roman" w:cs="Times New Roman"/>
          <w:sz w:val="28"/>
          <w:szCs w:val="28"/>
          <w:lang w:val="hu-HU"/>
        </w:rPr>
        <w:t xml:space="preserve">Hoạt động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lâu đời nhất trên thế giới được hình thành từ việc các nhà buôn (thương gia) tự kinh doanh trên vốn tự có. Theo Fohlin (2014), hoạt động này khởi nguồn từ các thành phố của Italia (như Siena, Florence, Genoa), Hà Lan (Amsterdam trở thành trung tâm giao dịch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thế kỷ XVII), sau đó là Vương quốc Anh. Tại Anh,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còn được biết đến với tên gọi là ngân hàng bán buôn (merchant bank). Giai đoạn đầu, các chủ ngân hàng này thường sử dụng hối phiếu để tài trợ cho việc giao thương hàng hóa với nhau, nhưng chủ yếu vẫn dựa trên nguồn vốn tự có của mình. Dần dần, một số chủ ngân hàng bán buôn mở rộng hoạt động cho một số đối tác hữu hạn. Đến thế kỷ </w:t>
      </w:r>
      <w:r w:rsidR="009533BB" w:rsidRPr="00CB3BF6">
        <w:rPr>
          <w:rFonts w:ascii="Times New Roman" w:eastAsia="PMingLiU" w:hAnsi="Times New Roman" w:cs="Times New Roman"/>
          <w:sz w:val="28"/>
          <w:szCs w:val="28"/>
          <w:lang w:val="hu-HU"/>
        </w:rPr>
        <w:t>XVI</w:t>
      </w:r>
      <w:r w:rsidRPr="00CB3BF6">
        <w:rPr>
          <w:rFonts w:ascii="Times New Roman" w:eastAsia="PMingLiU" w:hAnsi="Times New Roman" w:cs="Times New Roman"/>
          <w:sz w:val="28"/>
          <w:szCs w:val="28"/>
          <w:lang w:val="hu-HU"/>
        </w:rPr>
        <w:t xml:space="preserve">, các chủ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bắt đầu sử dụng các công cụ thị trường tiền tệ để tài trợ cho hoạt động đầu tư của mình, bán thương phiếu cho các nhà buôn khác và thậm chí các nhà đầu tư nhỏ lẻ. Tiếp theo đó, họ bắt đầu bán các chứng khoán dài hạn cho các nhà đầu tư bên ngoài, đồng thời tham gia vào hoạt động đầu tư vốn dài hạn, trong đó có cả cổ phiếu doanh nghiệp. Ví dụ điển hình liên quan đến cổ phiếu doanh nghiệp liên quan đến các công ty Đông Ấn (East India Companies) vào đầu thế kỷ XVII</w:t>
      </w:r>
    </w:p>
    <w:p w14:paraId="0DBC23AB" w14:textId="2DCC5B09" w:rsidR="00ED4786" w:rsidRPr="00CB3BF6" w:rsidRDefault="00ED4786" w:rsidP="00365DEB">
      <w:pPr>
        <w:widowControl w:val="0"/>
        <w:spacing w:before="120" w:after="120" w:line="240" w:lineRule="auto"/>
        <w:ind w:firstLine="720"/>
        <w:jc w:val="both"/>
        <w:rPr>
          <w:rFonts w:ascii="Times New Roman" w:eastAsia="PMingLiU" w:hAnsi="Times New Roman" w:cs="Times New Roman"/>
          <w:sz w:val="28"/>
          <w:szCs w:val="28"/>
          <w:lang w:val="hu-HU"/>
        </w:rPr>
      </w:pPr>
      <w:r w:rsidRPr="00CB3BF6">
        <w:rPr>
          <w:rFonts w:ascii="Times New Roman" w:eastAsia="PMingLiU" w:hAnsi="Times New Roman" w:cs="Times New Roman"/>
          <w:sz w:val="28"/>
          <w:szCs w:val="28"/>
          <w:lang w:val="hu-HU"/>
        </w:rPr>
        <w:t xml:space="preserve">Từ cuối thế kỷ XIX, đầu thế kỷ XX, thuật ngữ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trở nên được sử dụng phổ biến trên thị trường tài chính, đặc biệt là tại Mỹ. Đến lúc này, cùng với quá trình tự do hóa thương mại và nhu cầu vốn dài hạn, các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được phát triển với đầy đủ các dịch vụ chủ yếu dựa trên bảo lãnh phát hành và chào bán chứng khoán doanh nghiệp.</w:t>
      </w:r>
    </w:p>
    <w:p w14:paraId="05B11517" w14:textId="70C4DFC8" w:rsidR="00ED4786" w:rsidRPr="00CB3BF6" w:rsidRDefault="00ED4786" w:rsidP="00365DEB">
      <w:pPr>
        <w:widowControl w:val="0"/>
        <w:spacing w:before="120" w:after="120" w:line="240" w:lineRule="auto"/>
        <w:ind w:firstLine="720"/>
        <w:jc w:val="both"/>
        <w:rPr>
          <w:rFonts w:ascii="Times New Roman" w:eastAsia="PMingLiU" w:hAnsi="Times New Roman" w:cs="Times New Roman"/>
          <w:bCs/>
          <w:iCs/>
          <w:sz w:val="28"/>
          <w:szCs w:val="28"/>
          <w:lang w:val="hu-HU"/>
        </w:rPr>
      </w:pPr>
      <w:r w:rsidRPr="00CB3BF6">
        <w:rPr>
          <w:rFonts w:ascii="Times New Roman" w:eastAsia="PMingLiU" w:hAnsi="Times New Roman" w:cs="Times New Roman"/>
          <w:bCs/>
          <w:iCs/>
          <w:sz w:val="28"/>
          <w:szCs w:val="28"/>
          <w:lang w:val="hu-HU"/>
        </w:rPr>
        <w:t xml:space="preserve">Các nghiệp vụ chính của </w:t>
      </w:r>
      <w:r w:rsidR="00906182" w:rsidRPr="00CB3BF6">
        <w:rPr>
          <w:rFonts w:ascii="Times New Roman" w:eastAsia="PMingLiU" w:hAnsi="Times New Roman" w:cs="Times New Roman"/>
          <w:bCs/>
          <w:iCs/>
          <w:sz w:val="28"/>
          <w:szCs w:val="28"/>
          <w:lang w:val="hu-HU"/>
        </w:rPr>
        <w:t>NHĐT</w:t>
      </w:r>
    </w:p>
    <w:p w14:paraId="7582CF25" w14:textId="77777777" w:rsidR="00ED4786" w:rsidRPr="00CB3BF6" w:rsidRDefault="00ED4786" w:rsidP="00365DEB">
      <w:pPr>
        <w:widowControl w:val="0"/>
        <w:spacing w:before="120" w:after="120" w:line="240" w:lineRule="auto"/>
        <w:ind w:firstLine="720"/>
        <w:jc w:val="both"/>
        <w:rPr>
          <w:rFonts w:ascii="Times New Roman" w:eastAsia="PMingLiU" w:hAnsi="Times New Roman" w:cs="Times New Roman"/>
          <w:iCs/>
          <w:sz w:val="28"/>
          <w:szCs w:val="28"/>
          <w:lang w:val="hu-HU"/>
        </w:rPr>
      </w:pPr>
      <w:r w:rsidRPr="00CB3BF6">
        <w:rPr>
          <w:rFonts w:ascii="Times New Roman" w:eastAsia="PMingLiU" w:hAnsi="Times New Roman" w:cs="Times New Roman"/>
          <w:iCs/>
          <w:sz w:val="28"/>
          <w:szCs w:val="28"/>
          <w:lang w:val="hu-HU"/>
        </w:rPr>
        <w:t xml:space="preserve">Bảo lãnh phát hành </w:t>
      </w:r>
    </w:p>
    <w:p w14:paraId="3651BCB2" w14:textId="2D8C0A58" w:rsidR="00ED4786" w:rsidRPr="00CB3BF6" w:rsidRDefault="00ED4786" w:rsidP="00365DEB">
      <w:pPr>
        <w:widowControl w:val="0"/>
        <w:spacing w:before="120" w:after="120" w:line="240" w:lineRule="auto"/>
        <w:ind w:firstLine="720"/>
        <w:jc w:val="both"/>
        <w:rPr>
          <w:rFonts w:ascii="Times New Roman" w:eastAsia="PMingLiU" w:hAnsi="Times New Roman" w:cs="Times New Roman"/>
          <w:sz w:val="28"/>
          <w:szCs w:val="28"/>
          <w:shd w:val="clear" w:color="auto" w:fill="FFFFFF"/>
          <w:lang w:val="hu-HU"/>
        </w:rPr>
      </w:pPr>
      <w:r w:rsidRPr="00CB3BF6">
        <w:rPr>
          <w:rFonts w:ascii="Times New Roman" w:eastAsia="PMingLiU" w:hAnsi="Times New Roman" w:cs="Times New Roman"/>
          <w:sz w:val="28"/>
          <w:szCs w:val="28"/>
          <w:lang w:val="hu-HU"/>
        </w:rPr>
        <w:t xml:space="preserve">Bảo lãnh phát hành có thể coi là quá trình tạo điều kiện cho người thiếu vốn (người vay tiền) có thể huy động vốn trên thị trường tài chính thông qua việc phát hành các chứng khoán cụ nợ (thương phiếu, trái phiếu chính phủ, trái phiếu công ty) hoặc chứng khoán vốn (cổ phiếu). Nói cách khác, bảo lãnh phát hành là quá trình một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giúp tổ chức phát hành (doanh nghiệp) thực hiện các thủ tục trước và sau khi chào bán chứng khoán như định giá chứng khoán, chuẩn bị hồ sơ xin phép phát hành chứng khoán, phân phối chứng khoán và bình ổn giá chứng khoán trong giai đoạn đầu. Thông thường,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khi cung cấp dịch vụ bảo lãnh phát hành chứng khoán sẽ nhận mua một phần hoặc toàn bộ chứng khoán của tổ chức phát hành để bán lại, hoặc mua số chứng khoán còn lại chưa được phân phối hết của tổ chức phát hành. Thông qua việc cung cấp dịch vụ này,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w:t>
      </w:r>
      <w:r w:rsidRPr="00CB3BF6">
        <w:rPr>
          <w:rFonts w:ascii="Times New Roman" w:eastAsia="PMingLiU" w:hAnsi="Times New Roman" w:cs="Times New Roman"/>
          <w:sz w:val="28"/>
          <w:szCs w:val="28"/>
          <w:shd w:val="clear" w:color="auto" w:fill="FFFFFF"/>
          <w:lang w:val="hu-HU"/>
        </w:rPr>
        <w:t xml:space="preserve">sẽ được hưởng một khoản phí bảo lãnh nhất định trên số </w:t>
      </w:r>
      <w:r w:rsidRPr="00CB3BF6">
        <w:rPr>
          <w:rFonts w:ascii="Times New Roman" w:eastAsia="PMingLiU" w:hAnsi="Times New Roman" w:cs="Times New Roman"/>
          <w:sz w:val="28"/>
          <w:szCs w:val="28"/>
          <w:shd w:val="clear" w:color="auto" w:fill="FFFFFF"/>
          <w:lang w:val="hu-HU"/>
        </w:rPr>
        <w:lastRenderedPageBreak/>
        <w:t>tiền thu được từ đợt phát hành. Phí bảo lãnh cao hay thấp là tuỳ thuộc vào tính chất của đợt phát hành (lớn hay nhỏ, thuận lợi hay khó khăn). Đối với trái phiếu, phí bảo lãnh phụ thuộc vào lãi suất trái phiếu (lãi suất trái phiếu thấp thì phí bảo lãnh phát hành cao và ngược lại).</w:t>
      </w:r>
    </w:p>
    <w:p w14:paraId="78C0D50C" w14:textId="77777777" w:rsidR="00ED4786" w:rsidRPr="00CB3BF6" w:rsidRDefault="00ED4786" w:rsidP="00365DEB">
      <w:pPr>
        <w:widowControl w:val="0"/>
        <w:spacing w:before="120" w:after="120" w:line="240" w:lineRule="auto"/>
        <w:ind w:firstLine="720"/>
        <w:jc w:val="both"/>
        <w:rPr>
          <w:rFonts w:ascii="Times New Roman" w:eastAsia="PMingLiU" w:hAnsi="Times New Roman" w:cs="Times New Roman"/>
          <w:sz w:val="28"/>
          <w:szCs w:val="28"/>
          <w:lang w:val="hu-HU"/>
        </w:rPr>
      </w:pPr>
      <w:r w:rsidRPr="00CB3BF6">
        <w:rPr>
          <w:rFonts w:ascii="Times New Roman" w:eastAsia="PMingLiU" w:hAnsi="Times New Roman" w:cs="Times New Roman"/>
          <w:sz w:val="28"/>
          <w:szCs w:val="28"/>
          <w:shd w:val="clear" w:color="auto" w:fill="FFFFFF"/>
          <w:lang w:val="hu-HU"/>
        </w:rPr>
        <w:t xml:space="preserve">Nghiệp vụ bảo lãnh phát hành được thực hiện trên thị trường sơ cấp. </w:t>
      </w:r>
      <w:r w:rsidRPr="00CB3BF6">
        <w:rPr>
          <w:rFonts w:ascii="Times New Roman" w:eastAsia="PMingLiU" w:hAnsi="Times New Roman" w:cs="Times New Roman"/>
          <w:sz w:val="28"/>
          <w:szCs w:val="28"/>
          <w:lang w:val="hu-HU"/>
        </w:rPr>
        <w:t>Có một số phương thức bảo lãnh phát hành: Bảo lãnh với cam kết chắc chắn; Bảo lãnh với cố gắng cao nhất; Bảo lãnh theo phương thức bán tất cả hoặc không bán gì; Bảo lãnh theo phương thức tối thiểu-tối đa.</w:t>
      </w:r>
    </w:p>
    <w:p w14:paraId="18BA2C24" w14:textId="77777777" w:rsidR="00ED4786" w:rsidRPr="00CB3BF6" w:rsidRDefault="00ED4786" w:rsidP="00365DEB">
      <w:pPr>
        <w:widowControl w:val="0"/>
        <w:spacing w:before="120" w:after="120" w:line="240" w:lineRule="auto"/>
        <w:ind w:firstLine="720"/>
        <w:jc w:val="both"/>
        <w:rPr>
          <w:rFonts w:ascii="Times New Roman" w:eastAsia="PMingLiU" w:hAnsi="Times New Roman" w:cs="Times New Roman"/>
          <w:iCs/>
          <w:sz w:val="28"/>
          <w:szCs w:val="28"/>
          <w:lang w:val="hu-HU"/>
        </w:rPr>
      </w:pPr>
      <w:r w:rsidRPr="00CB3BF6">
        <w:rPr>
          <w:rFonts w:ascii="Times New Roman" w:eastAsia="PMingLiU" w:hAnsi="Times New Roman" w:cs="Times New Roman"/>
          <w:iCs/>
          <w:sz w:val="28"/>
          <w:szCs w:val="28"/>
          <w:lang w:val="hu-HU"/>
        </w:rPr>
        <w:t xml:space="preserve">Nghiệp vụ tư vấn mua bán, sáp nhập doanh nghiệp </w:t>
      </w:r>
    </w:p>
    <w:p w14:paraId="393C2171" w14:textId="6239EFA5" w:rsidR="00ED4786" w:rsidRPr="00CB3BF6" w:rsidRDefault="00ED4786" w:rsidP="00365DEB">
      <w:pPr>
        <w:widowControl w:val="0"/>
        <w:spacing w:before="120" w:after="120" w:line="240" w:lineRule="auto"/>
        <w:ind w:firstLine="720"/>
        <w:jc w:val="both"/>
        <w:rPr>
          <w:rFonts w:ascii="Times New Roman" w:eastAsia="PMingLiU" w:hAnsi="Times New Roman" w:cs="Times New Roman"/>
          <w:sz w:val="28"/>
          <w:szCs w:val="28"/>
          <w:lang w:val="hu-HU"/>
        </w:rPr>
      </w:pPr>
      <w:r w:rsidRPr="00CB3BF6">
        <w:rPr>
          <w:rFonts w:ascii="Times New Roman" w:eastAsia="PMingLiU" w:hAnsi="Times New Roman" w:cs="Times New Roman"/>
          <w:sz w:val="28"/>
          <w:szCs w:val="28"/>
          <w:shd w:val="clear" w:color="auto" w:fill="FFFFFF"/>
          <w:lang w:val="hu-HU"/>
        </w:rPr>
        <w:t xml:space="preserve">Nghiệp vụ </w:t>
      </w:r>
      <w:r w:rsidRPr="00CB3BF6">
        <w:rPr>
          <w:rFonts w:ascii="Times New Roman" w:eastAsia="PMingLiU" w:hAnsi="Times New Roman" w:cs="Times New Roman"/>
          <w:sz w:val="28"/>
          <w:szCs w:val="28"/>
          <w:lang w:val="hu-HU"/>
        </w:rPr>
        <w:t>tư vấn mua bán, sáp nhập doanh nghiệp</w:t>
      </w:r>
      <w:r w:rsidRPr="00CB3BF6">
        <w:rPr>
          <w:rFonts w:ascii="Times New Roman" w:eastAsia="PMingLiU" w:hAnsi="Times New Roman" w:cs="Times New Roman"/>
          <w:sz w:val="28"/>
          <w:szCs w:val="28"/>
          <w:shd w:val="clear" w:color="auto" w:fill="FFFFFF"/>
          <w:lang w:val="hu-HU"/>
        </w:rPr>
        <w:t xml:space="preserve"> được thực hiện trên thị trường sơ cấp.</w:t>
      </w:r>
      <w:r w:rsidRPr="00CB3BF6">
        <w:rPr>
          <w:rFonts w:ascii="Times New Roman" w:eastAsia="PMingLiU" w:hAnsi="Times New Roman" w:cs="Times New Roman"/>
          <w:sz w:val="28"/>
          <w:szCs w:val="28"/>
          <w:lang w:val="hu-HU"/>
        </w:rPr>
        <w:t xml:space="preserve"> Đây là dịch vụ sử dụng các kiến thức chuyên môn trong lĩnh vực tài chính doanh nghiệp để giúp các doanh nghiệp thực hiện các hoạt động đầu tư, chiến lược kinh doanh. Dịch vụ này bao gồm tư vấn mua bán, sáp nhập, thành lập liên doanh, liên minh chiến lược, thoái vốn đầu tư và tư vấn chiến lược cho doanh nghiệp. Dịch vụ này theo đem lại khoản phí tư vấn cho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Ngoài ra, nó cũng là cơ sở để các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tạo cơ sở bàn đạp để bán chép các sản phẩm khác. Các khách hàng của mảng dịch vụ này bao gồm doanh nghiệp, các quỹ đầu tư, các nhà đầu tư có tổ chức, các chính phủ và chính quyền địa phương.</w:t>
      </w:r>
    </w:p>
    <w:p w14:paraId="52DBC703" w14:textId="77777777" w:rsidR="00ED4786" w:rsidRPr="00CB3BF6" w:rsidRDefault="00ED4786" w:rsidP="00365DEB">
      <w:pPr>
        <w:widowControl w:val="0"/>
        <w:spacing w:before="120" w:after="120" w:line="240" w:lineRule="auto"/>
        <w:ind w:firstLine="720"/>
        <w:jc w:val="both"/>
        <w:rPr>
          <w:rFonts w:ascii="Times New Roman" w:eastAsia="PMingLiU" w:hAnsi="Times New Roman" w:cs="Times New Roman"/>
          <w:iCs/>
          <w:sz w:val="28"/>
          <w:szCs w:val="28"/>
          <w:lang w:val="hu-HU"/>
        </w:rPr>
      </w:pPr>
      <w:r w:rsidRPr="00CB3BF6">
        <w:rPr>
          <w:rFonts w:ascii="Times New Roman" w:eastAsia="PMingLiU" w:hAnsi="Times New Roman" w:cs="Times New Roman"/>
          <w:iCs/>
          <w:sz w:val="28"/>
          <w:szCs w:val="28"/>
          <w:lang w:val="hu-HU"/>
        </w:rPr>
        <w:t>Nghiệp vụ đầu tư</w:t>
      </w:r>
    </w:p>
    <w:p w14:paraId="546EAB8F" w14:textId="6BCEDD50" w:rsidR="00ED4786" w:rsidRPr="00CB3BF6" w:rsidRDefault="00ED4786" w:rsidP="00365DEB">
      <w:pPr>
        <w:widowControl w:val="0"/>
        <w:spacing w:before="120" w:after="120" w:line="240" w:lineRule="auto"/>
        <w:ind w:firstLine="720"/>
        <w:jc w:val="both"/>
        <w:rPr>
          <w:rFonts w:ascii="Times New Roman" w:eastAsia="PMingLiU" w:hAnsi="Times New Roman" w:cs="Times New Roman"/>
          <w:sz w:val="28"/>
          <w:szCs w:val="28"/>
          <w:lang w:val="hu-HU"/>
        </w:rPr>
      </w:pPr>
      <w:r w:rsidRPr="00CB3BF6">
        <w:rPr>
          <w:rFonts w:ascii="Times New Roman" w:eastAsia="PMingLiU" w:hAnsi="Times New Roman" w:cs="Times New Roman"/>
          <w:sz w:val="28"/>
          <w:szCs w:val="28"/>
          <w:lang w:val="hu-HU"/>
        </w:rPr>
        <w:t xml:space="preserve">Nghiệp vụ đầu tư được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thực hiện chủ yếu trên thị trường thứ cấp với vai trò là nhà tạp lập thị trường. Nghiệp vụ đầu tư bao gồm hai hoạt động chính là môi giới và đầu tư.</w:t>
      </w:r>
    </w:p>
    <w:p w14:paraId="34B87540" w14:textId="2E9B921B" w:rsidR="00ED4786" w:rsidRPr="00CB3BF6" w:rsidRDefault="00ED4786" w:rsidP="00365DEB">
      <w:pPr>
        <w:widowControl w:val="0"/>
        <w:spacing w:before="120" w:after="120" w:line="240" w:lineRule="auto"/>
        <w:ind w:firstLine="720"/>
        <w:jc w:val="both"/>
        <w:rPr>
          <w:rFonts w:ascii="Times New Roman" w:eastAsia="PMingLiU" w:hAnsi="Times New Roman" w:cs="Times New Roman"/>
          <w:sz w:val="28"/>
          <w:szCs w:val="28"/>
          <w:lang w:val="hu-HU"/>
        </w:rPr>
      </w:pPr>
      <w:r w:rsidRPr="00CB3BF6">
        <w:rPr>
          <w:rFonts w:ascii="Times New Roman" w:eastAsia="PMingLiU" w:hAnsi="Times New Roman" w:cs="Times New Roman"/>
          <w:sz w:val="28"/>
          <w:szCs w:val="28"/>
          <w:lang w:val="hu-HU"/>
        </w:rPr>
        <w:t xml:space="preserve">Hoạt động môi giới chủ yếu áp dụng cho các chứng khoán và các hợp đồng phái sinh đã được niêm yết trên sàn giao dịch, trong đó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đóng vai trò trung gian nhận lệnh và khớp lệnh cho các khách hàng.</w:t>
      </w:r>
    </w:p>
    <w:p w14:paraId="2376EC19" w14:textId="1BE2CBAE" w:rsidR="00ED4786" w:rsidRPr="00CB3BF6" w:rsidRDefault="00ED4786" w:rsidP="00365DEB">
      <w:pPr>
        <w:widowControl w:val="0"/>
        <w:spacing w:before="120" w:after="120" w:line="240" w:lineRule="auto"/>
        <w:ind w:firstLine="720"/>
        <w:jc w:val="both"/>
        <w:rPr>
          <w:rFonts w:ascii="Times New Roman" w:eastAsia="PMingLiU" w:hAnsi="Times New Roman" w:cs="Times New Roman"/>
          <w:sz w:val="28"/>
          <w:szCs w:val="28"/>
          <w:lang w:val="hu-HU"/>
        </w:rPr>
      </w:pPr>
      <w:r w:rsidRPr="00CB3BF6">
        <w:rPr>
          <w:rFonts w:ascii="Times New Roman" w:eastAsia="PMingLiU" w:hAnsi="Times New Roman" w:cs="Times New Roman"/>
          <w:sz w:val="28"/>
          <w:szCs w:val="28"/>
          <w:lang w:val="hu-HU"/>
        </w:rPr>
        <w:t xml:space="preserve">Hoạt động đầu tư được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thực hiện dưới hai hình thức: tự kinh doanh trên chính tài khoản và tiền của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(hoạt động tự doanh), và đầu tư cho khách hàng hoặc thay mặt khách hàng. Hoạt động tự doanh thường được áp dụng cho cả chứng khoán niêm yết và chứng khoán chưa niêm yết. Các nhân viên đầu tư tìm kiếm lợi nhuận cho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bằng cách chủ động nắm giữ trạng thái sản phẩm (dương hoặc âm) và sự đánh cược vào biến động của giá chứng khoán. Ví dụ, nếu các phân tích kỹ thuật và cơ bản cho thấy chứng khoán này sẽ tăng giá trong thời gian tới, nhân viên đầu tư sẽ mua chứng khoán đó, nắm giữ và chờ giá tăng lên để bán chốt lời Ngược lại, nếu kỳ vọng giá chứng khoán giảm, thì nhân viên đầu tư sẽ bán, hoặc bán khống. Tuy nhiên, không phải ai cũng có thể dự đoán chính xác được sự biến động của giá chứng khoán trong tương lai. Vì vậy, hoạt động tự doanh chứa đựng nhiều rủi ro. </w:t>
      </w:r>
    </w:p>
    <w:p w14:paraId="244C3860" w14:textId="022D0D73" w:rsidR="00ED4786" w:rsidRPr="00CB3BF6" w:rsidRDefault="00ED4786" w:rsidP="00365DEB">
      <w:pPr>
        <w:widowControl w:val="0"/>
        <w:spacing w:before="120" w:after="120" w:line="240" w:lineRule="auto"/>
        <w:ind w:firstLine="720"/>
        <w:jc w:val="both"/>
        <w:rPr>
          <w:rFonts w:ascii="Times New Roman" w:eastAsia="PMingLiU" w:hAnsi="Times New Roman" w:cs="Times New Roman"/>
          <w:sz w:val="28"/>
          <w:szCs w:val="28"/>
          <w:lang w:val="hu-HU"/>
        </w:rPr>
      </w:pPr>
      <w:r w:rsidRPr="00CB3BF6">
        <w:rPr>
          <w:rFonts w:ascii="Times New Roman" w:eastAsia="PMingLiU" w:hAnsi="Times New Roman" w:cs="Times New Roman"/>
          <w:sz w:val="28"/>
          <w:szCs w:val="28"/>
          <w:lang w:val="hu-HU"/>
        </w:rPr>
        <w:t xml:space="preserve">Hoạt động đầu tư cho khách hàng thường được áp dụng cho các sản phẩm chứng khoán giao dịch trên thị trường </w:t>
      </w:r>
      <w:r w:rsidR="008E6CF6" w:rsidRPr="00CB3BF6">
        <w:rPr>
          <w:rFonts w:ascii="Times New Roman" w:eastAsia="PMingLiU" w:hAnsi="Times New Roman" w:cs="Times New Roman"/>
          <w:sz w:val="28"/>
          <w:szCs w:val="28"/>
          <w:lang w:val="hu-HU"/>
        </w:rPr>
        <w:t>phi tập trung (</w:t>
      </w:r>
      <w:r w:rsidRPr="00CB3BF6">
        <w:rPr>
          <w:rFonts w:ascii="Times New Roman" w:eastAsia="PMingLiU" w:hAnsi="Times New Roman" w:cs="Times New Roman"/>
          <w:sz w:val="28"/>
          <w:szCs w:val="28"/>
          <w:lang w:val="hu-HU"/>
        </w:rPr>
        <w:t>OTC</w:t>
      </w:r>
      <w:r w:rsidR="008E6CF6" w:rsidRPr="00CB3BF6">
        <w:rPr>
          <w:rFonts w:ascii="Times New Roman" w:eastAsia="PMingLiU" w:hAnsi="Times New Roman" w:cs="Times New Roman"/>
          <w:sz w:val="28"/>
          <w:szCs w:val="28"/>
          <w:lang w:val="hu-HU"/>
        </w:rPr>
        <w:t>)</w:t>
      </w:r>
      <w:r w:rsidRPr="00CB3BF6">
        <w:rPr>
          <w:rFonts w:ascii="Times New Roman" w:eastAsia="PMingLiU" w:hAnsi="Times New Roman" w:cs="Times New Roman"/>
          <w:sz w:val="28"/>
          <w:szCs w:val="28"/>
          <w:lang w:val="hu-HU"/>
        </w:rPr>
        <w:t xml:space="preserve"> bao gồm các chứng </w:t>
      </w:r>
      <w:r w:rsidRPr="00CB3BF6">
        <w:rPr>
          <w:rFonts w:ascii="Times New Roman" w:eastAsia="PMingLiU" w:hAnsi="Times New Roman" w:cs="Times New Roman"/>
          <w:sz w:val="28"/>
          <w:szCs w:val="28"/>
          <w:lang w:val="hu-HU"/>
        </w:rPr>
        <w:lastRenderedPageBreak/>
        <w:t xml:space="preserve">khoán không niêm yết, hợp đồng phái sinh không niêm yết và các sản phẩm cơ cấu. Với mục đích nhằm tăng cường tính thanh khoản cho thị trường cũng như kiếm lời, các giao dịch mua bán được thực hiện với các khách hàng một cách thụ động hoặc chủ động. Hoạt động đầu tư cho khách hàng sẽ có nguy cơ rủi ro thấp hơn so với hoạt động tự doanh </w:t>
      </w:r>
    </w:p>
    <w:p w14:paraId="1B1B84AF" w14:textId="77777777" w:rsidR="00ED4786" w:rsidRPr="00CB3BF6" w:rsidRDefault="00ED4786" w:rsidP="00365DEB">
      <w:pPr>
        <w:widowControl w:val="0"/>
        <w:spacing w:before="120" w:after="120" w:line="240" w:lineRule="auto"/>
        <w:ind w:firstLine="720"/>
        <w:jc w:val="both"/>
        <w:rPr>
          <w:rFonts w:ascii="Times New Roman" w:eastAsia="PMingLiU" w:hAnsi="Times New Roman" w:cs="Times New Roman"/>
          <w:iCs/>
          <w:sz w:val="28"/>
          <w:szCs w:val="28"/>
          <w:lang w:val="hu-HU"/>
        </w:rPr>
      </w:pPr>
      <w:r w:rsidRPr="00CB3BF6">
        <w:rPr>
          <w:rFonts w:ascii="Times New Roman" w:eastAsia="PMingLiU" w:hAnsi="Times New Roman" w:cs="Times New Roman"/>
          <w:iCs/>
          <w:sz w:val="28"/>
          <w:szCs w:val="28"/>
          <w:lang w:val="hu-HU"/>
        </w:rPr>
        <w:t>Nghiệp vụ nghiên cứu</w:t>
      </w:r>
    </w:p>
    <w:p w14:paraId="09BDDDD5" w14:textId="22B3DE01" w:rsidR="00ED4786" w:rsidRPr="00CB3BF6" w:rsidRDefault="00ED4786" w:rsidP="00365DEB">
      <w:pPr>
        <w:widowControl w:val="0"/>
        <w:spacing w:before="120" w:after="120" w:line="240" w:lineRule="auto"/>
        <w:ind w:firstLine="720"/>
        <w:jc w:val="both"/>
        <w:rPr>
          <w:rFonts w:ascii="Times New Roman" w:eastAsia="PMingLiU" w:hAnsi="Times New Roman" w:cs="Times New Roman"/>
          <w:sz w:val="28"/>
          <w:szCs w:val="28"/>
          <w:lang w:val="hu-HU"/>
        </w:rPr>
      </w:pPr>
      <w:r w:rsidRPr="00CB3BF6">
        <w:rPr>
          <w:rFonts w:ascii="Times New Roman" w:eastAsia="PMingLiU" w:hAnsi="Times New Roman" w:cs="Times New Roman"/>
          <w:sz w:val="28"/>
          <w:szCs w:val="28"/>
          <w:lang w:val="hu-HU"/>
        </w:rPr>
        <w:t>Đây là hoạt động được thực hiện nhằm theo dõi, phân tích, đánh giá về tất cả các biến số kinh tế vĩ mô và vi mô có ảnh hưởng đến giá của các chứng khoán đã niêm yết hoặc chưa niêm yết trên thị trường. Hoạt động này giúp các nhà kinh doanh, các nhà đầu tư có thể đưa ra các quyết định mua bán đúng thời điểm và hiệu quả. Sản phẩm cả nghiệp vụ nghiên cứu rất đa dạng: (i) các báo cáo kinh tế vĩ mô theo định kỳ hàng tuần, tháng, quý, năm; (ii) các báo cáo về các ngành; (iii) các báo cáo về từng loại cổ phiếu/từng doanh nghiệp; (iv) các loại báo cáo khác như báo cáo chiến lược</w:t>
      </w:r>
      <w:r w:rsidR="00DE3B62" w:rsidRPr="00CB3BF6">
        <w:rPr>
          <w:rFonts w:ascii="Times New Roman" w:eastAsia="PMingLiU" w:hAnsi="Times New Roman" w:cs="Times New Roman"/>
          <w:sz w:val="28"/>
          <w:szCs w:val="28"/>
          <w:lang w:val="hu-HU"/>
        </w:rPr>
        <w:t xml:space="preserve">. </w:t>
      </w:r>
      <w:r w:rsidRPr="00CB3BF6">
        <w:rPr>
          <w:rFonts w:ascii="Times New Roman" w:eastAsia="PMingLiU" w:hAnsi="Times New Roman" w:cs="Times New Roman"/>
          <w:sz w:val="28"/>
          <w:szCs w:val="28"/>
          <w:lang w:val="hu-HU"/>
        </w:rPr>
        <w:t xml:space="preserve">Nghiệp vụ nghiên cứu sẽ không trực tiếp tạo ra doanh thu hay lợi nhuận cho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nhưng nó lại giúp gia tăng chất lượng các dịch vụ và sản phẩm mà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cung cấp cho khách hàng.</w:t>
      </w:r>
    </w:p>
    <w:p w14:paraId="53F3E6F4" w14:textId="4F5E3EE8" w:rsidR="00ED4786" w:rsidRPr="00CB3BF6" w:rsidRDefault="00ED4786" w:rsidP="00B90C86">
      <w:pPr>
        <w:widowControl w:val="0"/>
        <w:spacing w:before="120" w:after="120" w:line="240" w:lineRule="auto"/>
        <w:ind w:firstLine="720"/>
        <w:jc w:val="both"/>
        <w:rPr>
          <w:rFonts w:ascii="Times New Roman" w:eastAsia="PMingLiU" w:hAnsi="Times New Roman" w:cs="Times New Roman"/>
          <w:sz w:val="28"/>
          <w:szCs w:val="28"/>
          <w:lang w:val="hu-HU"/>
        </w:rPr>
      </w:pPr>
      <w:r w:rsidRPr="00CB3BF6">
        <w:rPr>
          <w:rFonts w:ascii="Times New Roman" w:eastAsia="PMingLiU" w:hAnsi="Times New Roman" w:cs="Times New Roman"/>
          <w:sz w:val="28"/>
          <w:szCs w:val="28"/>
          <w:lang w:val="hu-HU"/>
        </w:rPr>
        <w:t xml:space="preserve">Bên cạnh đó, </w:t>
      </w:r>
      <w:r w:rsidR="00906182" w:rsidRPr="00CB3BF6">
        <w:rPr>
          <w:rFonts w:ascii="Times New Roman" w:eastAsia="PMingLiU" w:hAnsi="Times New Roman" w:cs="Times New Roman"/>
          <w:sz w:val="28"/>
          <w:szCs w:val="28"/>
          <w:lang w:val="hu-HU"/>
        </w:rPr>
        <w:t>NHĐT</w:t>
      </w:r>
      <w:r w:rsidRPr="00CB3BF6">
        <w:rPr>
          <w:rFonts w:ascii="Times New Roman" w:eastAsia="PMingLiU" w:hAnsi="Times New Roman" w:cs="Times New Roman"/>
          <w:sz w:val="28"/>
          <w:szCs w:val="28"/>
          <w:lang w:val="hu-HU"/>
        </w:rPr>
        <w:t xml:space="preserve"> còn cung cấp các dịch vụ khác như nghiệp vụ ngân hàng bán buôn, nghiệp vụ quản lý đầu tư, nghiệp vụ nhà môi giới chính.</w:t>
      </w:r>
    </w:p>
    <w:p w14:paraId="22EF19BA" w14:textId="267448FF" w:rsidR="001C313B" w:rsidRPr="00CB3BF6" w:rsidRDefault="00724B14" w:rsidP="00365DEB">
      <w:pPr>
        <w:widowControl w:val="0"/>
        <w:spacing w:before="120" w:after="120" w:line="240" w:lineRule="auto"/>
        <w:ind w:left="1440" w:firstLine="720"/>
        <w:jc w:val="right"/>
        <w:rPr>
          <w:rFonts w:ascii="Times New Roman" w:eastAsia="PMingLiU" w:hAnsi="Times New Roman" w:cs="Times New Roman"/>
          <w:b/>
          <w:bCs/>
          <w:sz w:val="24"/>
          <w:szCs w:val="24"/>
          <w:lang w:val="hu-HU"/>
        </w:rPr>
      </w:pPr>
      <w:r w:rsidRPr="00CB3BF6">
        <w:rPr>
          <w:rFonts w:ascii="Times New Roman" w:eastAsia="PMingLiU" w:hAnsi="Times New Roman" w:cs="Times New Roman"/>
          <w:b/>
          <w:bCs/>
          <w:sz w:val="24"/>
          <w:szCs w:val="24"/>
          <w:lang w:val="hu-HU"/>
        </w:rPr>
        <w:t>PHẠM THỊ HOÀNG ANH</w:t>
      </w:r>
    </w:p>
    <w:p w14:paraId="4EF00FC8" w14:textId="4C0EC453" w:rsidR="00ED4786" w:rsidRPr="00CB3BF6" w:rsidRDefault="00724B14" w:rsidP="00365DEB">
      <w:pPr>
        <w:widowControl w:val="0"/>
        <w:spacing w:before="120" w:after="120" w:line="240" w:lineRule="auto"/>
        <w:rPr>
          <w:rFonts w:ascii="Times New Roman" w:eastAsia="PMingLiU" w:hAnsi="Times New Roman" w:cs="Times New Roman"/>
          <w:b/>
          <w:bCs/>
          <w:sz w:val="24"/>
          <w:szCs w:val="24"/>
          <w:lang w:val="en-US"/>
        </w:rPr>
      </w:pPr>
      <w:r w:rsidRPr="00CB3BF6">
        <w:rPr>
          <w:rFonts w:ascii="Times New Roman" w:eastAsia="PMingLiU" w:hAnsi="Times New Roman" w:cs="Times New Roman"/>
          <w:b/>
          <w:bCs/>
          <w:sz w:val="24"/>
          <w:szCs w:val="24"/>
          <w:lang w:val="en-US"/>
        </w:rPr>
        <w:t>Tài liệu tham khảo</w:t>
      </w:r>
    </w:p>
    <w:p w14:paraId="017D4BE1" w14:textId="18A1978E" w:rsidR="00ED4786" w:rsidRPr="00CB3BF6" w:rsidRDefault="00ED4786" w:rsidP="00365DEB">
      <w:pPr>
        <w:pStyle w:val="ListParagraph"/>
        <w:widowControl w:val="0"/>
        <w:numPr>
          <w:ilvl w:val="0"/>
          <w:numId w:val="1"/>
        </w:numPr>
        <w:spacing w:before="120" w:after="120" w:line="240" w:lineRule="auto"/>
        <w:contextualSpacing w:val="0"/>
        <w:jc w:val="both"/>
        <w:rPr>
          <w:rFonts w:ascii="Times New Roman" w:eastAsia="PMingLiU" w:hAnsi="Times New Roman" w:cs="Times New Roman"/>
          <w:sz w:val="24"/>
          <w:szCs w:val="24"/>
          <w:lang w:val="en-US"/>
        </w:rPr>
      </w:pPr>
      <w:r w:rsidRPr="00CB3BF6">
        <w:rPr>
          <w:rFonts w:ascii="Times New Roman" w:eastAsia="PMingLiU" w:hAnsi="Times New Roman" w:cs="Times New Roman"/>
          <w:sz w:val="24"/>
          <w:szCs w:val="24"/>
          <w:lang w:val="en-US"/>
        </w:rPr>
        <w:t>Mạc Quang Huy, Cẩm nang Ngân hàng đầu tư, Nxb</w:t>
      </w:r>
      <w:r w:rsidR="00211C26" w:rsidRPr="00CB3BF6">
        <w:rPr>
          <w:rFonts w:ascii="Times New Roman" w:eastAsia="PMingLiU" w:hAnsi="Times New Roman" w:cs="Times New Roman"/>
          <w:sz w:val="24"/>
          <w:szCs w:val="24"/>
          <w:lang w:val="en-US"/>
        </w:rPr>
        <w:t>.</w:t>
      </w:r>
      <w:r w:rsidRPr="00CB3BF6">
        <w:rPr>
          <w:rFonts w:ascii="Times New Roman" w:eastAsia="PMingLiU" w:hAnsi="Times New Roman" w:cs="Times New Roman"/>
          <w:sz w:val="24"/>
          <w:szCs w:val="24"/>
          <w:lang w:val="en-US"/>
        </w:rPr>
        <w:t xml:space="preserve"> Thống kê, 2009</w:t>
      </w:r>
      <w:r w:rsidR="007820CB" w:rsidRPr="00CB3BF6">
        <w:rPr>
          <w:rFonts w:ascii="Times New Roman" w:eastAsia="PMingLiU" w:hAnsi="Times New Roman" w:cs="Times New Roman"/>
          <w:sz w:val="24"/>
          <w:szCs w:val="24"/>
          <w:lang w:val="en-US"/>
        </w:rPr>
        <w:t>.</w:t>
      </w:r>
    </w:p>
    <w:p w14:paraId="2C5F5808" w14:textId="5D68772F" w:rsidR="00211C26" w:rsidRDefault="00211C26" w:rsidP="00365DEB">
      <w:pPr>
        <w:pStyle w:val="ListParagraph"/>
        <w:widowControl w:val="0"/>
        <w:numPr>
          <w:ilvl w:val="0"/>
          <w:numId w:val="1"/>
        </w:numPr>
        <w:spacing w:before="120" w:after="120" w:line="240" w:lineRule="auto"/>
        <w:contextualSpacing w:val="0"/>
        <w:jc w:val="both"/>
        <w:rPr>
          <w:rFonts w:ascii="Times New Roman" w:eastAsia="PMingLiU" w:hAnsi="Times New Roman" w:cs="Times New Roman"/>
          <w:sz w:val="24"/>
          <w:szCs w:val="24"/>
          <w:lang w:val="en-US"/>
        </w:rPr>
      </w:pPr>
      <w:r w:rsidRPr="00CB3BF6">
        <w:rPr>
          <w:rFonts w:ascii="Times New Roman" w:eastAsia="PMingLiU" w:hAnsi="Times New Roman" w:cs="Times New Roman"/>
          <w:sz w:val="24"/>
          <w:szCs w:val="24"/>
          <w:lang w:val="en-US"/>
        </w:rPr>
        <w:t xml:space="preserve">Fohlin, Caroline, </w:t>
      </w:r>
      <w:r w:rsidRPr="00CB3BF6">
        <w:rPr>
          <w:rFonts w:ascii="Times New Roman" w:eastAsia="PMingLiU" w:hAnsi="Times New Roman" w:cs="Times New Roman"/>
          <w:i/>
          <w:sz w:val="24"/>
          <w:szCs w:val="24"/>
          <w:lang w:val="en-US"/>
        </w:rPr>
        <w:t>A brief history of investment banking from Medieval Times to the Present</w:t>
      </w:r>
      <w:r w:rsidRPr="00CB3BF6">
        <w:rPr>
          <w:rFonts w:ascii="Times New Roman" w:eastAsia="PMingLiU" w:hAnsi="Times New Roman" w:cs="Times New Roman"/>
          <w:sz w:val="24"/>
          <w:szCs w:val="24"/>
          <w:lang w:val="en-US"/>
        </w:rPr>
        <w:t>. Edited by Youssef, Catherine Schenk, and Richard Grossman. The Oxford Handbook of Banking and Financial History, 2016.</w:t>
      </w:r>
    </w:p>
    <w:p w14:paraId="264A385C" w14:textId="77777777" w:rsidR="005634BF" w:rsidRPr="00B7782A" w:rsidRDefault="005634BF" w:rsidP="005634BF">
      <w:pPr>
        <w:pStyle w:val="ListParagraph"/>
        <w:widowControl w:val="0"/>
        <w:numPr>
          <w:ilvl w:val="0"/>
          <w:numId w:val="1"/>
        </w:numPr>
        <w:spacing w:before="120" w:after="120" w:line="240" w:lineRule="auto"/>
        <w:contextualSpacing w:val="0"/>
        <w:jc w:val="both"/>
        <w:rPr>
          <w:rFonts w:ascii="Times New Roman" w:eastAsia="PMingLiU" w:hAnsi="Times New Roman" w:cs="Times New Roman"/>
          <w:sz w:val="24"/>
          <w:szCs w:val="24"/>
          <w:lang w:val="en-US"/>
        </w:rPr>
      </w:pPr>
      <w:r w:rsidRPr="00B7782A">
        <w:rPr>
          <w:rFonts w:ascii="Times New Roman" w:eastAsia="PMingLiU" w:hAnsi="Times New Roman" w:cs="Times New Roman"/>
          <w:sz w:val="24"/>
          <w:szCs w:val="24"/>
          <w:lang w:val="en-US"/>
        </w:rPr>
        <w:t xml:space="preserve">Hagendorff, Jens, </w:t>
      </w:r>
      <w:r w:rsidRPr="00B7782A">
        <w:rPr>
          <w:rFonts w:ascii="Times New Roman" w:eastAsia="PMingLiU" w:hAnsi="Times New Roman" w:cs="Times New Roman"/>
          <w:i/>
          <w:sz w:val="24"/>
          <w:szCs w:val="24"/>
          <w:lang w:val="en-US"/>
        </w:rPr>
        <w:t>International Banking. Study package for BA (Hons) in Banking and Finance</w:t>
      </w:r>
      <w:r w:rsidRPr="00B7782A">
        <w:rPr>
          <w:rFonts w:ascii="Times New Roman" w:eastAsia="PMingLiU" w:hAnsi="Times New Roman" w:cs="Times New Roman"/>
          <w:sz w:val="24"/>
          <w:szCs w:val="24"/>
          <w:lang w:val="en-US"/>
        </w:rPr>
        <w:t xml:space="preserve">, University of Sunderland, 2010. </w:t>
      </w:r>
    </w:p>
    <w:p w14:paraId="0860F858" w14:textId="77777777" w:rsidR="005634BF" w:rsidRPr="00B7782A" w:rsidRDefault="005634BF" w:rsidP="005634BF">
      <w:pPr>
        <w:pStyle w:val="ListParagraph"/>
        <w:widowControl w:val="0"/>
        <w:numPr>
          <w:ilvl w:val="0"/>
          <w:numId w:val="1"/>
        </w:numPr>
        <w:spacing w:before="120" w:after="120" w:line="240" w:lineRule="auto"/>
        <w:contextualSpacing w:val="0"/>
        <w:jc w:val="both"/>
        <w:rPr>
          <w:rFonts w:ascii="Times New Roman" w:eastAsia="PMingLiU" w:hAnsi="Times New Roman" w:cs="Times New Roman"/>
          <w:sz w:val="24"/>
          <w:szCs w:val="24"/>
          <w:lang w:val="en-US"/>
        </w:rPr>
      </w:pPr>
      <w:r w:rsidRPr="00B7782A">
        <w:rPr>
          <w:rFonts w:ascii="Times New Roman" w:eastAsia="PMingLiU" w:hAnsi="Times New Roman" w:cs="Times New Roman"/>
          <w:sz w:val="24"/>
          <w:szCs w:val="24"/>
          <w:lang w:val="en-US"/>
        </w:rPr>
        <w:t xml:space="preserve">Liaw, K, Thomas, </w:t>
      </w:r>
      <w:r w:rsidRPr="00B7782A">
        <w:rPr>
          <w:rFonts w:ascii="Times New Roman" w:eastAsia="PMingLiU" w:hAnsi="Times New Roman" w:cs="Times New Roman"/>
          <w:i/>
          <w:sz w:val="24"/>
          <w:szCs w:val="24"/>
          <w:lang w:val="en-US"/>
        </w:rPr>
        <w:t>The Business of Investment Banking Comprehensive Overview</w:t>
      </w:r>
      <w:r w:rsidRPr="00B7782A">
        <w:rPr>
          <w:rFonts w:ascii="Times New Roman" w:eastAsia="PMingLiU" w:hAnsi="Times New Roman" w:cs="Times New Roman"/>
          <w:sz w:val="24"/>
          <w:szCs w:val="24"/>
          <w:lang w:val="en-US"/>
        </w:rPr>
        <w:t>, Third Edition, Willey, 2015.</w:t>
      </w:r>
    </w:p>
    <w:p w14:paraId="0BB127A2" w14:textId="77777777" w:rsidR="005634BF" w:rsidRPr="00CB3BF6" w:rsidRDefault="005634BF" w:rsidP="00CB3BF6">
      <w:pPr>
        <w:widowControl w:val="0"/>
        <w:spacing w:before="120" w:after="120" w:line="240" w:lineRule="auto"/>
        <w:jc w:val="both"/>
        <w:rPr>
          <w:rFonts w:ascii="Times New Roman" w:eastAsia="PMingLiU" w:hAnsi="Times New Roman" w:cs="Times New Roman"/>
          <w:sz w:val="24"/>
          <w:szCs w:val="24"/>
          <w:lang w:val="en-US"/>
        </w:rPr>
      </w:pPr>
    </w:p>
    <w:p w14:paraId="6E4D859E" w14:textId="77777777" w:rsidR="00211C26" w:rsidRPr="00365DEB" w:rsidRDefault="00211C26" w:rsidP="00365DEB">
      <w:pPr>
        <w:widowControl w:val="0"/>
        <w:spacing w:before="120" w:after="120" w:line="240" w:lineRule="auto"/>
        <w:jc w:val="both"/>
        <w:rPr>
          <w:rFonts w:ascii="Times New Roman" w:eastAsia="PMingLiU" w:hAnsi="Times New Roman" w:cs="Times New Roman"/>
          <w:sz w:val="24"/>
          <w:szCs w:val="24"/>
          <w:lang w:val="en-US"/>
        </w:rPr>
      </w:pPr>
    </w:p>
    <w:p w14:paraId="3ED49AEE" w14:textId="77777777" w:rsidR="00ED4786" w:rsidRDefault="00ED4786" w:rsidP="00365DEB">
      <w:pPr>
        <w:widowControl w:val="0"/>
        <w:spacing w:before="120" w:after="120" w:line="240" w:lineRule="auto"/>
        <w:ind w:firstLine="720"/>
        <w:jc w:val="both"/>
        <w:rPr>
          <w:rFonts w:ascii="Times New Roman" w:eastAsia="PMingLiU" w:hAnsi="Times New Roman" w:cs="Times New Roman"/>
          <w:sz w:val="28"/>
          <w:szCs w:val="28"/>
          <w:lang w:val="en-US"/>
        </w:rPr>
      </w:pPr>
    </w:p>
    <w:p w14:paraId="5E6576D3" w14:textId="77777777" w:rsidR="000002AF" w:rsidRPr="00ED4786" w:rsidRDefault="000002AF" w:rsidP="00365DEB">
      <w:pPr>
        <w:spacing w:before="120" w:after="120" w:line="240" w:lineRule="auto"/>
        <w:rPr>
          <w:lang w:val="en-US"/>
        </w:rPr>
      </w:pPr>
    </w:p>
    <w:sectPr w:rsidR="000002AF" w:rsidRPr="00ED4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C7523"/>
    <w:multiLevelType w:val="hybridMultilevel"/>
    <w:tmpl w:val="03EA7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786"/>
    <w:rsid w:val="000002AF"/>
    <w:rsid w:val="000164C2"/>
    <w:rsid w:val="000676DC"/>
    <w:rsid w:val="000C2DBB"/>
    <w:rsid w:val="000E6239"/>
    <w:rsid w:val="001213B3"/>
    <w:rsid w:val="00123BBB"/>
    <w:rsid w:val="00166BC1"/>
    <w:rsid w:val="00190A58"/>
    <w:rsid w:val="00195C54"/>
    <w:rsid w:val="001A2D85"/>
    <w:rsid w:val="001A59C4"/>
    <w:rsid w:val="001C313B"/>
    <w:rsid w:val="00211C26"/>
    <w:rsid w:val="00334300"/>
    <w:rsid w:val="00345D42"/>
    <w:rsid w:val="00365DEB"/>
    <w:rsid w:val="00393E88"/>
    <w:rsid w:val="003A5F6D"/>
    <w:rsid w:val="003F0EB0"/>
    <w:rsid w:val="00407E3B"/>
    <w:rsid w:val="005634BF"/>
    <w:rsid w:val="005A5F69"/>
    <w:rsid w:val="005F13ED"/>
    <w:rsid w:val="006231CA"/>
    <w:rsid w:val="00724B14"/>
    <w:rsid w:val="007820CB"/>
    <w:rsid w:val="00786A87"/>
    <w:rsid w:val="007E3494"/>
    <w:rsid w:val="00835F40"/>
    <w:rsid w:val="00847434"/>
    <w:rsid w:val="00861D0B"/>
    <w:rsid w:val="008A5310"/>
    <w:rsid w:val="008E6CF6"/>
    <w:rsid w:val="00900E11"/>
    <w:rsid w:val="0090494F"/>
    <w:rsid w:val="00906182"/>
    <w:rsid w:val="009533BB"/>
    <w:rsid w:val="00A9705F"/>
    <w:rsid w:val="00AC3008"/>
    <w:rsid w:val="00AE57B9"/>
    <w:rsid w:val="00B74BF9"/>
    <w:rsid w:val="00B90C86"/>
    <w:rsid w:val="00C05C53"/>
    <w:rsid w:val="00C27810"/>
    <w:rsid w:val="00C64638"/>
    <w:rsid w:val="00CB3BF6"/>
    <w:rsid w:val="00CB527E"/>
    <w:rsid w:val="00D239A0"/>
    <w:rsid w:val="00D54605"/>
    <w:rsid w:val="00DE3B62"/>
    <w:rsid w:val="00E501E6"/>
    <w:rsid w:val="00ED053D"/>
    <w:rsid w:val="00ED4786"/>
    <w:rsid w:val="00EF0739"/>
    <w:rsid w:val="00F80436"/>
    <w:rsid w:val="00FB5B51"/>
    <w:rsid w:val="00FD6B33"/>
    <w:rsid w:val="00FF44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ED4786"/>
    <w:rPr>
      <w:rFonts w:ascii="Arial" w:eastAsia="Arial" w:hAnsi="Arial" w:cs="Times New Roman"/>
      <w:sz w:val="20"/>
      <w:szCs w:val="20"/>
    </w:rPr>
  </w:style>
  <w:style w:type="character" w:customStyle="1" w:styleId="CommentTextChar">
    <w:name w:val="Comment Text Char"/>
    <w:basedOn w:val="DefaultParagraphFont"/>
    <w:link w:val="CommentText"/>
    <w:uiPriority w:val="99"/>
    <w:qFormat/>
    <w:rsid w:val="00ED4786"/>
    <w:rPr>
      <w:rFonts w:ascii="Arial" w:eastAsia="Arial" w:hAnsi="Arial" w:cs="Times New Roman"/>
      <w:sz w:val="20"/>
      <w:szCs w:val="20"/>
    </w:rPr>
  </w:style>
  <w:style w:type="paragraph" w:styleId="BalloonText">
    <w:name w:val="Balloon Text"/>
    <w:basedOn w:val="Normal"/>
    <w:link w:val="BalloonTextChar"/>
    <w:uiPriority w:val="99"/>
    <w:semiHidden/>
    <w:unhideWhenUsed/>
    <w:rsid w:val="00ED4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786"/>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C3008"/>
    <w:pPr>
      <w:spacing w:after="0" w:line="240" w:lineRule="auto"/>
    </w:pPr>
  </w:style>
  <w:style w:type="paragraph" w:styleId="ListParagraph">
    <w:name w:val="List Paragraph"/>
    <w:basedOn w:val="Normal"/>
    <w:uiPriority w:val="34"/>
    <w:qFormat/>
    <w:rsid w:val="000164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ED4786"/>
    <w:rPr>
      <w:rFonts w:ascii="Arial" w:eastAsia="Arial" w:hAnsi="Arial" w:cs="Times New Roman"/>
      <w:sz w:val="20"/>
      <w:szCs w:val="20"/>
    </w:rPr>
  </w:style>
  <w:style w:type="character" w:customStyle="1" w:styleId="CommentTextChar">
    <w:name w:val="Comment Text Char"/>
    <w:basedOn w:val="DefaultParagraphFont"/>
    <w:link w:val="CommentText"/>
    <w:uiPriority w:val="99"/>
    <w:qFormat/>
    <w:rsid w:val="00ED4786"/>
    <w:rPr>
      <w:rFonts w:ascii="Arial" w:eastAsia="Arial" w:hAnsi="Arial" w:cs="Times New Roman"/>
      <w:sz w:val="20"/>
      <w:szCs w:val="20"/>
    </w:rPr>
  </w:style>
  <w:style w:type="paragraph" w:styleId="BalloonText">
    <w:name w:val="Balloon Text"/>
    <w:basedOn w:val="Normal"/>
    <w:link w:val="BalloonTextChar"/>
    <w:uiPriority w:val="99"/>
    <w:semiHidden/>
    <w:unhideWhenUsed/>
    <w:rsid w:val="00ED4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786"/>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C3008"/>
    <w:pPr>
      <w:spacing w:after="0" w:line="240" w:lineRule="auto"/>
    </w:pPr>
  </w:style>
  <w:style w:type="paragraph" w:styleId="ListParagraph">
    <w:name w:val="List Paragraph"/>
    <w:basedOn w:val="Normal"/>
    <w:uiPriority w:val="34"/>
    <w:qFormat/>
    <w:rsid w:val="00016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Pham Thanh Thuy</cp:lastModifiedBy>
  <cp:revision>4</cp:revision>
  <dcterms:created xsi:type="dcterms:W3CDTF">2024-05-29T07:42:00Z</dcterms:created>
  <dcterms:modified xsi:type="dcterms:W3CDTF">2024-05-31T03:20:00Z</dcterms:modified>
</cp:coreProperties>
</file>